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 w:line="283" w:lineRule="atLeast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6"/>
          <w:szCs w:val="26"/>
        </w:rPr>
        <w:t xml:space="preserve">Росреестр Бурятии напоминает о новых правилах использования земельных участков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567"/>
        <w:jc w:val="both"/>
        <w:spacing w:after="0" w:afterAutospacing="0" w:line="283" w:lineRule="atLeast"/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Управление Росреестра по Республике Бурятия обращает внимание землепользователей на вступившие в силу законодательные изменения, регулирующие порядок освоения и использования земельных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участков.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</w:p>
    <w:p>
      <w:pPr>
        <w:ind w:left="0" w:right="0" w:firstLine="567"/>
        <w:jc w:val="both"/>
        <w:spacing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С 1 марта 2025 года вступил в силу Федеральный закон № 307-ФЗ от 08.08.2024, который устанавливает трехлетний срок для освоения земельных участков, расположенных в границах населенных пунктов, а также садовых и огородных участков. Этот срок предоставляется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 собственникам для приведения земли в надлежащее состояние: очистки от мусора, осушения, выравнивания рельефа и других работ.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  <w:r/>
    </w:p>
    <w:p>
      <w:pPr>
        <w:ind w:left="0" w:right="0" w:firstLine="567"/>
        <w:jc w:val="both"/>
        <w:spacing w:after="0" w:afterAutospacing="0" w:line="283" w:lineRule="atLeast"/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Важно отметить, что в течение этих трех лет собственник не может быть привлечен к ответственности за нецелевое использование участка, так как он только начинает его осваивать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. По истечении срока земля должна использоваться строго по назначению: для строительства, ведения сельского хозяйства или иных разрешённых целей. С этого момента контрольные органы вправе фиксировать нарушения и применять санкции.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ind w:left="0" w:right="0" w:firstLine="567"/>
        <w:jc w:val="both"/>
        <w:spacing w:after="0" w:afterAutospacing="0" w:line="283" w:lineRule="atLeast"/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Новые правила не распространяются на земли промышленности, туризма, рекреации и сельскохозяйственного назначения», – отметила заместитель руководителя Управления Росреестра по Республике Бурятия Саяна Галданова.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ind w:left="0" w:right="0" w:firstLine="567"/>
        <w:jc w:val="both"/>
        <w:spacing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Кроме того, с 1 сентября 2025 года в России введены новые критерии признания земельных участков неиспользуемыми. Основанием служит Постановление Правительства РФ от 31.05.2025 № 826. Признаками неиспользования признаны:</w:t>
      </w:r>
      <w:r/>
    </w:p>
    <w:p>
      <w:pPr>
        <w:ind w:left="0" w:right="0" w:firstLine="567"/>
        <w:jc w:val="both"/>
        <w:spacing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- захламление или загрязнение более половины площади участка, не устранённое в течение года;</w:t>
      </w:r>
      <w:r/>
    </w:p>
    <w:p>
      <w:pPr>
        <w:ind w:left="0" w:right="0" w:firstLine="567"/>
        <w:jc w:val="both"/>
        <w:spacing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- для участков под строительство (не ИЖС) — отсутствие построенного и оформленного здания в течение пяти лет (если иной срок не установлен разрешением);</w:t>
      </w:r>
      <w:r/>
    </w:p>
    <w:p>
      <w:pPr>
        <w:ind w:left="0" w:right="0" w:firstLine="567"/>
        <w:jc w:val="both"/>
        <w:spacing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- для участков под ИЖС — отсутствие построенного и зарегистрированного объекта в течение семи лет;</w:t>
      </w:r>
      <w:r/>
    </w:p>
    <w:p>
      <w:pPr>
        <w:ind w:left="0" w:right="0" w:firstLine="567"/>
        <w:jc w:val="both"/>
        <w:spacing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- наличие разрушений зданий, сооружений (разрушение крыши, стен, выпадение окон и т. д.);</w:t>
      </w:r>
      <w:r/>
    </w:p>
    <w:p>
      <w:pPr>
        <w:ind w:left="0" w:right="0" w:firstLine="567"/>
        <w:jc w:val="both"/>
        <w:spacing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- зарастание садовых, огородных и приусадебных участков сорняками, деревьями и кустарниками на более чем половине площади в течение года.</w:t>
      </w:r>
      <w:r/>
    </w:p>
    <w:p>
      <w:pPr>
        <w:ind w:left="0" w:right="0" w:firstLine="567"/>
        <w:jc w:val="both"/>
        <w:spacing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«Закон предусматривает исключения: признаки неиспользования не применяются, если на участок наложен арест, использование было невозможно из-за стихийных бедствий или иных объективных обстоятельств, подтверждённых документально», – рассказал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начальник отдела земельного контроля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Комитета по управлению имуществом и землепользованию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 Дмитрий Сотнич.</w:t>
      </w:r>
      <w:r/>
    </w:p>
    <w:p>
      <w:pPr>
        <w:ind w:left="0" w:right="0" w:firstLine="567"/>
        <w:jc w:val="both"/>
        <w:spacing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За дополнительной информацией обращайтесь в Росреестр по телефону 8 800 100 34 34 (звонок по России бесплатный) или в Комитет по управлению имуществом и землепользованию г. Улан-Удэ: (3012) 23-00-60.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  <w:r/>
    </w:p>
    <w:p>
      <w:pPr>
        <w:ind w:left="0" w:right="0" w:firstLine="567"/>
        <w:jc w:val="both"/>
        <w:spacing w:line="283" w:lineRule="atLeast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  <w:r>
        <w:rPr>
          <w:rFonts w:ascii="PT Astra Serif" w:hAnsi="PT Astra Serif" w:cs="PT Astra Serif"/>
          <w:color w:val="000000" w:themeColor="text1"/>
          <w:sz w:val="26"/>
          <w:szCs w:val="26"/>
        </w:rPr>
      </w:r>
      <w:r>
        <w:rPr>
          <w:rFonts w:ascii="PT Astra Serif" w:hAnsi="PT Astra Serif" w:cs="PT Astra Serif"/>
          <w:color w:val="000000" w:themeColor="text1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link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No Spacing"/>
    <w:basedOn w:val="838"/>
    <w:uiPriority w:val="1"/>
    <w:qFormat/>
    <w:pPr>
      <w:spacing w:after="0" w:line="240" w:lineRule="auto"/>
    </w:pPr>
  </w:style>
  <w:style w:type="paragraph" w:styleId="842">
    <w:name w:val="List Paragraph"/>
    <w:basedOn w:val="838"/>
    <w:uiPriority w:val="34"/>
    <w:qFormat/>
    <w:pPr>
      <w:contextualSpacing/>
      <w:ind w:left="720"/>
    </w:pPr>
  </w:style>
  <w:style w:type="character" w:styleId="84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2026-05-06T01:29:17Z</dcterms:modified>
</cp:coreProperties>
</file>