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keepNext w:val="0"/>
        <w:keepLines w:val="0"/>
        <w:widowControl/>
        <w:suppressLineNumbers w:val="0"/>
        <w:spacing w:before="0" w:beforeAutospacing="0" w:after="0" w:afterAutospacing="0" w:line="240" w:lineRule="auto"/>
        <w:ind w:left="0" w:right="0" w:firstLine="444"/>
        <w:jc w:val="center"/>
        <w:rPr>
          <w:rFonts w:ascii="Calibri" w:hAnsi="Calibri" w:cs="Calibri"/>
          <w:i w:val="0"/>
          <w:iCs w:val="0"/>
          <w:caps w:val="0"/>
          <w:color w:val="000000"/>
          <w:spacing w:val="0"/>
          <w:sz w:val="20"/>
          <w:szCs w:val="20"/>
        </w:rPr>
      </w:pPr>
      <w:r>
        <w:rPr>
          <w:rFonts w:ascii="Arial" w:hAnsi="Arial" w:cs="Arial"/>
          <w:b/>
          <w:bCs/>
          <w:i w:val="0"/>
          <w:iCs w:val="0"/>
          <w:caps w:val="0"/>
          <w:color w:val="000000"/>
          <w:spacing w:val="0"/>
          <w:sz w:val="20"/>
          <w:szCs w:val="20"/>
        </w:rPr>
        <w:t>АДМИНИСТРАЦИЯ</w:t>
      </w:r>
    </w:p>
    <w:p>
      <w:pPr>
        <w:pStyle w:val="90"/>
        <w:keepNext w:val="0"/>
        <w:keepLines w:val="0"/>
        <w:widowControl/>
        <w:suppressLineNumbers w:val="0"/>
        <w:spacing w:before="0" w:beforeAutospacing="0" w:after="0" w:afterAutospacing="0" w:line="240" w:lineRule="auto"/>
        <w:ind w:left="0" w:right="0" w:firstLine="444"/>
        <w:jc w:val="center"/>
        <w:rPr>
          <w:rFonts w:hint="default" w:ascii="Arial" w:hAnsi="Arial" w:cs="Arial"/>
          <w:b/>
          <w:bCs/>
          <w:i w:val="0"/>
          <w:iCs w:val="0"/>
          <w:caps w:val="0"/>
          <w:color w:val="000000"/>
          <w:spacing w:val="0"/>
          <w:sz w:val="20"/>
          <w:szCs w:val="20"/>
        </w:rPr>
      </w:pPr>
      <w:r>
        <w:rPr>
          <w:rFonts w:hint="default" w:ascii="Arial" w:hAnsi="Arial" w:cs="Arial"/>
          <w:b/>
          <w:bCs/>
          <w:i w:val="0"/>
          <w:iCs w:val="0"/>
          <w:caps w:val="0"/>
          <w:color w:val="000000"/>
          <w:spacing w:val="0"/>
          <w:sz w:val="20"/>
          <w:szCs w:val="20"/>
        </w:rPr>
        <w:t>МУНИЦИПАЛЬНОГО ОБРАЗОВАНИЯ СЕЛЬСКОГО ПОСЕЛЕНИЯ «ХАСУРТАЙСКОЕ» </w:t>
      </w:r>
    </w:p>
    <w:p>
      <w:pPr>
        <w:pStyle w:val="90"/>
        <w:keepNext w:val="0"/>
        <w:keepLines w:val="0"/>
        <w:widowControl/>
        <w:suppressLineNumbers w:val="0"/>
        <w:spacing w:before="0" w:beforeAutospacing="0" w:after="0" w:afterAutospacing="0" w:line="240" w:lineRule="auto"/>
        <w:ind w:left="0" w:right="0" w:firstLine="444"/>
        <w:jc w:val="center"/>
        <w:rPr>
          <w:rFonts w:hint="default" w:ascii="Calibri" w:hAnsi="Calibri" w:cs="Calibri"/>
          <w:i w:val="0"/>
          <w:iCs w:val="0"/>
          <w:caps w:val="0"/>
          <w:color w:val="000000"/>
          <w:spacing w:val="0"/>
          <w:sz w:val="20"/>
          <w:szCs w:val="20"/>
        </w:rPr>
      </w:pPr>
      <w:r>
        <w:rPr>
          <w:rFonts w:hint="default" w:ascii="Arial" w:hAnsi="Arial" w:cs="Arial"/>
          <w:b/>
          <w:bCs/>
          <w:i w:val="0"/>
          <w:iCs w:val="0"/>
          <w:caps w:val="0"/>
          <w:color w:val="000000"/>
          <w:spacing w:val="0"/>
          <w:sz w:val="20"/>
          <w:szCs w:val="20"/>
        </w:rPr>
        <w:t>ХОРИНСКОГО РАЙОНА РЕСПУБЛИКИ БУРЯТИЯ</w:t>
      </w:r>
    </w:p>
    <w:p>
      <w:pPr>
        <w:pStyle w:val="90"/>
        <w:keepNext w:val="0"/>
        <w:keepLines w:val="0"/>
        <w:widowControl/>
        <w:suppressLineNumbers w:val="0"/>
        <w:spacing w:before="0" w:beforeAutospacing="0" w:after="0" w:afterAutospacing="0" w:line="240" w:lineRule="auto"/>
        <w:ind w:left="0" w:right="0" w:firstLine="444"/>
        <w:jc w:val="center"/>
        <w:rPr>
          <w:rFonts w:hint="default" w:ascii="Calibri" w:hAnsi="Calibri" w:cs="Calibri"/>
          <w:i w:val="0"/>
          <w:iCs w:val="0"/>
          <w:caps w:val="0"/>
          <w:color w:val="000000"/>
          <w:spacing w:val="0"/>
          <w:sz w:val="20"/>
          <w:szCs w:val="20"/>
        </w:rPr>
      </w:pPr>
      <w:r>
        <w:rPr>
          <w:rFonts w:hint="default" w:ascii="Arial" w:hAnsi="Arial" w:cs="Arial"/>
          <w:b/>
          <w:bCs/>
          <w:i w:val="0"/>
          <w:iCs w:val="0"/>
          <w:caps w:val="0"/>
          <w:color w:val="000000"/>
          <w:spacing w:val="0"/>
          <w:sz w:val="20"/>
          <w:szCs w:val="20"/>
        </w:rPr>
        <w:t>с. Хасурта, ул. Центральная,108 Хоринский район Республика Бурятия, Телефон (301-48) 26-1-66,</w:t>
      </w:r>
    </w:p>
    <w:p>
      <w:pPr>
        <w:pStyle w:val="90"/>
        <w:keepNext w:val="0"/>
        <w:keepLines w:val="0"/>
        <w:widowControl/>
        <w:suppressLineNumbers w:val="0"/>
        <w:spacing w:before="0" w:beforeAutospacing="0" w:after="0" w:afterAutospacing="0" w:line="240" w:lineRule="auto"/>
        <w:ind w:left="0" w:right="0" w:firstLine="444"/>
        <w:jc w:val="center"/>
        <w:rPr>
          <w:rFonts w:hint="default" w:ascii="Calibri" w:hAnsi="Calibri" w:cs="Calibri"/>
          <w:i w:val="0"/>
          <w:iCs w:val="0"/>
          <w:caps w:val="0"/>
          <w:color w:val="000000"/>
          <w:spacing w:val="0"/>
          <w:sz w:val="20"/>
          <w:szCs w:val="20"/>
        </w:rPr>
      </w:pPr>
      <w:r>
        <w:rPr>
          <w:rFonts w:hint="default" w:ascii="Arial" w:hAnsi="Arial" w:cs="Arial"/>
          <w:b/>
          <w:bCs/>
          <w:i w:val="0"/>
          <w:iCs w:val="0"/>
          <w:caps w:val="0"/>
          <w:color w:val="000000"/>
          <w:spacing w:val="0"/>
          <w:sz w:val="20"/>
          <w:szCs w:val="20"/>
        </w:rPr>
        <w:t>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0"/>
          <w:szCs w:val="20"/>
        </w:rPr>
      </w:pPr>
      <w:r>
        <w:rPr>
          <w:rFonts w:hint="default" w:ascii="Arial" w:hAnsi="Arial" w:cs="Arial"/>
          <w:b/>
          <w:bCs/>
          <w:i w:val="0"/>
          <w:iCs w:val="0"/>
          <w:caps w:val="0"/>
          <w:color w:val="000000"/>
          <w:spacing w:val="0"/>
          <w:sz w:val="20"/>
          <w:szCs w:val="20"/>
          <w:shd w:val="clear" w:fill="FFFFFF"/>
        </w:rPr>
        <w:t>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0"/>
          <w:szCs w:val="20"/>
        </w:rPr>
      </w:pPr>
      <w:r>
        <w:rPr>
          <w:rFonts w:hint="default" w:ascii="Arial" w:hAnsi="Arial" w:cs="Arial"/>
          <w:b/>
          <w:bCs/>
          <w:i w:val="0"/>
          <w:iCs w:val="0"/>
          <w:caps w:val="0"/>
          <w:color w:val="000000"/>
          <w:spacing w:val="0"/>
          <w:sz w:val="20"/>
          <w:szCs w:val="20"/>
          <w:shd w:val="clear" w:fill="FFFFFF"/>
        </w:rPr>
        <w:t>Постановление</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0"/>
          <w:szCs w:val="20"/>
        </w:rPr>
      </w:pPr>
      <w:r>
        <w:rPr>
          <w:rFonts w:hint="default" w:ascii="Arial" w:hAnsi="Arial" w:cs="Arial"/>
          <w:b/>
          <w:bCs/>
          <w:i w:val="0"/>
          <w:iCs w:val="0"/>
          <w:caps w:val="0"/>
          <w:color w:val="000000"/>
          <w:spacing w:val="0"/>
          <w:sz w:val="20"/>
          <w:szCs w:val="20"/>
          <w:shd w:val="clear" w:fill="FFFFFF"/>
        </w:rPr>
        <w:t> </w:t>
      </w:r>
    </w:p>
    <w:p>
      <w:pPr>
        <w:pStyle w:val="90"/>
        <w:keepNext w:val="0"/>
        <w:keepLines w:val="0"/>
        <w:widowControl/>
        <w:suppressLineNumbers w:val="0"/>
        <w:shd w:val="clear" w:fill="FFFFFF"/>
        <w:spacing w:before="0" w:beforeAutospacing="0" w:after="0" w:afterAutospacing="0"/>
        <w:ind w:left="0" w:right="0" w:firstLine="0"/>
        <w:jc w:val="both"/>
        <w:rPr>
          <w:rFonts w:hint="default" w:ascii="Arial" w:hAnsi="Arial" w:cs="Arial"/>
          <w:i w:val="0"/>
          <w:iCs w:val="0"/>
          <w:caps w:val="0"/>
          <w:color w:val="000000"/>
          <w:spacing w:val="0"/>
          <w:sz w:val="20"/>
          <w:szCs w:val="20"/>
        </w:rPr>
      </w:pPr>
      <w:r>
        <w:rPr>
          <w:rFonts w:hint="default" w:ascii="Arial" w:hAnsi="Arial" w:cs="Arial"/>
          <w:b/>
          <w:bCs/>
          <w:i w:val="0"/>
          <w:iCs w:val="0"/>
          <w:caps w:val="0"/>
          <w:color w:val="000000"/>
          <w:spacing w:val="0"/>
          <w:sz w:val="20"/>
          <w:szCs w:val="20"/>
          <w:shd w:val="clear" w:fill="FFFFFF"/>
        </w:rPr>
        <w:t>от 4 сентября 2018 г.                                                                                    </w:t>
      </w:r>
      <w:r>
        <w:rPr>
          <w:rFonts w:hint="default" w:ascii="Arial" w:hAnsi="Arial" w:cs="Arial"/>
          <w:b/>
          <w:bCs/>
          <w:i w:val="0"/>
          <w:iCs w:val="0"/>
          <w:caps w:val="0"/>
          <w:color w:val="000000"/>
          <w:spacing w:val="0"/>
          <w:sz w:val="20"/>
          <w:szCs w:val="20"/>
          <w:shd w:val="clear" w:fill="FFFFFF"/>
          <w:lang w:val="ru-RU"/>
        </w:rPr>
        <w:t xml:space="preserve">                     </w:t>
      </w:r>
      <w:r>
        <w:rPr>
          <w:rFonts w:hint="default" w:ascii="Arial" w:hAnsi="Arial" w:cs="Arial"/>
          <w:b/>
          <w:bCs/>
          <w:i w:val="0"/>
          <w:iCs w:val="0"/>
          <w:caps w:val="0"/>
          <w:color w:val="000000"/>
          <w:spacing w:val="0"/>
          <w:sz w:val="20"/>
          <w:szCs w:val="20"/>
          <w:shd w:val="clear" w:fill="FFFFFF"/>
        </w:rPr>
        <w:t>              № 7-6</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0"/>
          <w:szCs w:val="20"/>
        </w:rPr>
      </w:pPr>
      <w:r>
        <w:rPr>
          <w:rFonts w:hint="default" w:ascii="Arial" w:hAnsi="Arial" w:cs="Arial"/>
          <w:b/>
          <w:bCs/>
          <w:i w:val="0"/>
          <w:iCs w:val="0"/>
          <w:caps w:val="0"/>
          <w:color w:val="000000"/>
          <w:spacing w:val="0"/>
          <w:sz w:val="20"/>
          <w:szCs w:val="20"/>
          <w:shd w:val="clear" w:fill="FFFFFF"/>
        </w:rPr>
        <w:t>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b/>
          <w:bCs/>
          <w:i w:val="0"/>
          <w:iCs w:val="0"/>
          <w:caps w:val="0"/>
          <w:color w:val="000000"/>
          <w:spacing w:val="0"/>
          <w:sz w:val="20"/>
          <w:szCs w:val="20"/>
          <w:shd w:val="clear" w:fill="FFFFFF"/>
        </w:rPr>
      </w:pPr>
      <w:r>
        <w:rPr>
          <w:rFonts w:hint="default" w:ascii="Arial" w:hAnsi="Arial" w:cs="Arial"/>
          <w:b/>
          <w:bCs/>
          <w:i w:val="0"/>
          <w:iCs w:val="0"/>
          <w:caps w:val="0"/>
          <w:color w:val="000000"/>
          <w:spacing w:val="0"/>
          <w:sz w:val="20"/>
          <w:szCs w:val="20"/>
          <w:shd w:val="clear" w:fill="FFFFFF"/>
        </w:rPr>
        <w:t>Об утверждении Административного регламента предоставления муниципальной услуги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0"/>
          <w:szCs w:val="20"/>
        </w:rPr>
      </w:pPr>
      <w:r>
        <w:rPr>
          <w:rFonts w:hint="default" w:ascii="Arial" w:hAnsi="Arial" w:cs="Arial"/>
          <w:b/>
          <w:bCs/>
          <w:i w:val="0"/>
          <w:iCs w:val="0"/>
          <w:caps w:val="0"/>
          <w:color w:val="000000"/>
          <w:spacing w:val="0"/>
          <w:sz w:val="20"/>
          <w:szCs w:val="20"/>
          <w:shd w:val="clear" w:fill="FFFFFF"/>
        </w:rPr>
        <w:t>по признанию жилых помещений непригодными для проживания граждан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"http://pravo-search.minjust.ru:8080/bigs/showDocument.html?id=85A91D30-0AC0-4D90-BBBE-53BAFAE29E44"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26.11.2019 г. № 21-3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"http://pravo-search.minjust.ru:8080/bigs/showDocument.html?id=C4B5A4DE-7784-45AB-8810-BFA4B11176A6"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06.07.2020 г. № 13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Руководствуясь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27.07.2010 № 210-ФЗ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организации предоставления государственных и муниципальных услуг», Постановлением правительства Российской Федерации от 06.06.15г.№ 676, Положением утвержденным Постановлением Правительства Российской Федерации от 28.01.06 г. №47, Федеральным Законом от 29.12.2017 № 479-Ф3, в целях открытости и общедоступности информации по предоставлению муниципальных услуг, и Уставом Муниципального образования сельское поселение «Хасуртайское» ПОСТАНОВЛЯЮ: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 Утвердить прилагаемый Административный регламент предоставления муниципальной услуги по признанию жилых помещений непригодными 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2. </w:t>
      </w:r>
      <w:r>
        <w:rPr>
          <w:rFonts w:hint="default" w:ascii="Arial" w:hAnsi="Arial" w:cs="Arial"/>
          <w:i w:val="0"/>
          <w:iCs w:val="0"/>
          <w:caps w:val="0"/>
          <w:spacing w:val="0"/>
          <w:sz w:val="19"/>
          <w:szCs w:val="19"/>
          <w:shd w:val="clear" w:fill="FFFFFF"/>
        </w:rPr>
        <w:fldChar w:fldCharType="begin"/>
      </w:r>
      <w:r>
        <w:rPr>
          <w:rFonts w:hint="default" w:ascii="Arial" w:hAnsi="Arial" w:cs="Arial"/>
          <w:i w:val="0"/>
          <w:iCs w:val="0"/>
          <w:caps w:val="0"/>
          <w:spacing w:val="0"/>
          <w:sz w:val="19"/>
          <w:szCs w:val="19"/>
          <w:shd w:val="clear" w:fill="FFFFFF"/>
        </w:rPr>
        <w:instrText xml:space="preserve"> HYPERLINK "http://pravo-search.minjust.ru:8080/bigs/showDocument.html?id=7E59835E-D37A-494F-AF6D-933721D1E5D6" \t "http://pravo-search.minjust.ru:8080/bigs/_blank" </w:instrText>
      </w:r>
      <w:r>
        <w:rPr>
          <w:rFonts w:hint="default" w:ascii="Arial" w:hAnsi="Arial" w:cs="Arial"/>
          <w:i w:val="0"/>
          <w:iCs w:val="0"/>
          <w:caps w:val="0"/>
          <w:spacing w:val="0"/>
          <w:sz w:val="19"/>
          <w:szCs w:val="19"/>
          <w:shd w:val="clear" w:fill="FFFFFF"/>
        </w:rPr>
        <w:fldChar w:fldCharType="separate"/>
      </w:r>
      <w:r>
        <w:rPr>
          <w:rStyle w:val="20"/>
          <w:rFonts w:hint="default" w:ascii="Arial" w:hAnsi="Arial" w:cs="Arial"/>
          <w:i w:val="0"/>
          <w:iCs w:val="0"/>
          <w:caps w:val="0"/>
          <w:color w:val="0000FF"/>
          <w:spacing w:val="0"/>
          <w:sz w:val="19"/>
          <w:szCs w:val="19"/>
          <w:u w:val="none"/>
          <w:shd w:val="clear" w:fill="FFFFFF"/>
        </w:rPr>
        <w:t>Постановление </w:t>
      </w:r>
      <w:bookmarkStart w:id="24" w:name="_GoBack"/>
      <w:bookmarkEnd w:id="24"/>
      <w:r>
        <w:rPr>
          <w:rStyle w:val="20"/>
          <w:rFonts w:hint="default" w:ascii="Arial" w:hAnsi="Arial" w:cs="Arial"/>
          <w:i w:val="0"/>
          <w:iCs w:val="0"/>
          <w:caps w:val="0"/>
          <w:color w:val="0000FF"/>
          <w:spacing w:val="0"/>
          <w:sz w:val="19"/>
          <w:szCs w:val="19"/>
          <w:u w:val="none"/>
          <w:shd w:val="clear" w:fill="FFFFFF"/>
        </w:rPr>
        <w:t>№ 24 от 14.10.2016 г.</w:t>
      </w:r>
      <w:r>
        <w:rPr>
          <w:rStyle w:val="20"/>
          <w:rFonts w:hint="default" w:ascii="Arial" w:hAnsi="Arial" w:cs="Arial"/>
          <w:i w:val="0"/>
          <w:iCs w:val="0"/>
          <w:caps w:val="0"/>
          <w:color w:val="0000FF"/>
          <w:spacing w:val="0"/>
          <w:sz w:val="19"/>
          <w:szCs w:val="19"/>
          <w:u w:val="none"/>
          <w:shd w:val="clear" w:fill="FFFFFF"/>
          <w:lang w:val="ru-RU"/>
        </w:rPr>
        <w:t>"</w:t>
      </w:r>
      <w:r>
        <w:rPr>
          <w:rStyle w:val="20"/>
          <w:rFonts w:hint="default" w:ascii="Arial" w:hAnsi="Arial" w:cs="Arial"/>
          <w:i w:val="0"/>
          <w:iCs w:val="0"/>
          <w:caps w:val="0"/>
          <w:color w:val="0000FF"/>
          <w:spacing w:val="0"/>
          <w:sz w:val="19"/>
          <w:szCs w:val="19"/>
          <w:u w:val="none"/>
          <w:shd w:val="clear" w:fill="FFFFFF"/>
        </w:rPr>
        <w:t>Об утверждении Административного регламента предоставления муниципальной услуги по признанию жилых помещений непригодными для проживания граждан»</w:t>
      </w:r>
      <w:r>
        <w:rPr>
          <w:rFonts w:hint="default" w:ascii="Arial" w:hAnsi="Arial" w:cs="Arial"/>
          <w:i w:val="0"/>
          <w:iCs w:val="0"/>
          <w:caps w:val="0"/>
          <w:spacing w:val="0"/>
          <w:sz w:val="19"/>
          <w:szCs w:val="19"/>
          <w:shd w:val="clear" w:fill="FFFFFF"/>
        </w:rPr>
        <w:fldChar w:fldCharType="end"/>
      </w:r>
      <w:r>
        <w:rPr>
          <w:rFonts w:hint="default" w:ascii="Arial" w:hAnsi="Arial" w:cs="Arial"/>
          <w:i w:val="0"/>
          <w:iCs w:val="0"/>
          <w:caps w:val="0"/>
          <w:color w:val="000000"/>
          <w:spacing w:val="0"/>
          <w:sz w:val="19"/>
          <w:szCs w:val="19"/>
          <w:shd w:val="clear" w:fill="FFFFFF"/>
        </w:rPr>
        <w:t>, признать утратившим силу.</w:t>
      </w:r>
    </w:p>
    <w:p>
      <w:pPr>
        <w:pStyle w:val="90"/>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3. Настоящее постановление обнародовать в общественных местах путем вывешивания текста на информационных стендах для объявлений муниципального образования сельского поселения «Хасуртайское» и разместить на официальном сайте администрации муниципального образования сельское поселение «Хасуртайское» - www.khasurta.ru (раздел – документы) в сети Интернет.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Контроль за исполнением настоящего постановления оставляю за собой.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муниципального образования</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сельское поселение «Хасуртайское»                                                                                    Л.В.Иванова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АДМИНИСТРАТИВНЫЙ РЕГЛАМЕНТ</w:t>
      </w: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shd w:val="clear" w:fill="FFFFFF"/>
        </w:rPr>
      </w:pPr>
      <w:r>
        <w:rPr>
          <w:rFonts w:hint="default" w:ascii="Arial" w:hAnsi="Arial" w:cs="Arial"/>
          <w:i w:val="0"/>
          <w:iCs w:val="0"/>
          <w:caps w:val="0"/>
          <w:color w:val="000000"/>
          <w:spacing w:val="0"/>
          <w:sz w:val="19"/>
          <w:szCs w:val="19"/>
          <w:shd w:val="clear" w:fill="FFFFFF"/>
        </w:rPr>
        <w:t>по предоставлению муниципальной услуги «Признание жилых помещений непригодными </w:t>
      </w: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для проживания граждан»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"http://pravo-search.minjust.ru:8080/bigs/showDocument.html?id=85A91D30-0AC0-4D90-BBBE-53BAFAE29E44"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26.11.2019 г. № 21-3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I.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щие по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ложе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предоставления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1.1.Административный регламент по предоставлению муниципальной услуги «Признание жилых помещений непригодным для проживания граждан»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МО СП «Хасуртайское» (далее - администрация) с юридическими и физическими лицами.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1.2. Предметом регулирования настоящего Административного регламента являются отношения, возникающие между физическими лицами и администрацией, связанные с предоставлением муниципальной услуги «Признание жилых помещений непригодными для проживания граждан» (далее – Муниципальная услуга).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1.3. Предоставление Муниципальной услуги осуществляет Администрацией МО СП «Хасуртайское» (далее – Администрация).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1.4.Заявителем о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(далее – заявители).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1.5.Ин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ция о Муниципаль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ной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ге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 ис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поль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зо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вани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ем средств мас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вой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 путем размещения информации о предоставлении Муниципальной услуги в официальном сайте www.khasurta.ru</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посредством те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лефон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ной свя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зи – по телефону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8 (301-48) 26-1-66.</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1.6.Гра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фик 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боты Администрации: понедельник – четверг с 8-30 до 17-00 часов, пятница с 8-30 до 16-00 часов, перерыв на обед: с12-00 до 13-00 часов; выходные дни – суббота, воскресенье, контактный те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лефон для спра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вок 8 (301-48)26-166.</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1.7.Для по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луче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 о по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ряд</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ке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Муниципальной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 заявители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ют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не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пос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редс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 в Администрацию по адре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су: Хоринский район, Республика Бурятия, с Хасурта ул Центральная д 108</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1.8. Ответственным лицом за предоставление Муниципальной услуги является Руководитель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1.9. Получение заявителями информации по вопросам предоставления Муниципальной услуги осуществляется путем индивидуального и публичного информирования.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1.10. Индивидуальное информирование по вопросам предоставления Муниципальной услуги проводится в форме устного информирования (лично и по телефону) и письменного информирования (почтой).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1.11.Ос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новны</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ми тре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бова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ями к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нию заявителей о по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ряд</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ке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Муниципальной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 (да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лее -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яв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ют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вер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ность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емой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чёт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кость из</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жения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пол</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удобс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тво и 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тупность по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луче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опе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ратив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ность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1.12.Ин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виду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аль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ное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тное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обес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пе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чива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спе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алис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ми Администрации лич</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 и по те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лефо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ну.</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1.13.При ответе на телефонные звонки, специалист Администрации, сняв трубку, должен назвать свою фамилию, имя, отчество, занимаемую должность, предложить заявителю представиться и изложить суть вопроса.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1.14.Заявители могут обратиться за консультационной или организационной поддержкой лично к Руководителю администрации, заместителю главы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1.15. Специалист Администрация при общении с заявителями (по телефону или лично) должен корректно и внимательно относиться к заявителям, не унижая их чести и достоинства. Устное информирование о порядке оказания Муниципальной услуги должно проводиться с использованием официально - делового стиля речи.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1.16.Во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устного информирования о порядке оказания Муниципальной услуги специалист Администрации, осуществляющий информирование, должен кратко подвести итоги и перечислить меры, которые надо принять (кто именно, когда и что должен сделать).</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1.17.Сведения о ходе предоставления Муниципальной услуги представляются при устном и письменном обращении заявителя. Заявителю представляются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1.18. Пуб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личное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заявителей про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водит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пос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редс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твом вывешивания на информационном стенде на территории МО СП «Хасуртайское», а так</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же пу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тем размещения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 на офи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аль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ном сай</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те администрации в се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ти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тернет.</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1.19.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щение Заявителя рассматривается на заседании межведомственной комиссии по признанию помещения жилым помещением, жилого помещения непригодным для проживания аварийным и подлежащим сносу или реконструкции (далее - комиссия) администрации в срок, не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выша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ющий 30 дней со дня 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 и предоставлении всех необходимых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II. Стан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дарт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муниципальной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 На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име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муниципальной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2.1.Наименование Муниципальной услуги: «Признание жилых помещений непригодными 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2.2.На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име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нова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ор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на,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юще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 Муниципальную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гу: Администрация МО СП «Хасауртайское».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Муниципальная услуга осуществляется через комиссию по признанию помещения жилым помещением, жилого помещения непригодным для проживания граждан, состав которой утверждается муниципальным правовым актом администрации.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2.3. 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 самоуправления.</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2.3.1.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0" w:name="_00013"/>
      <w:r>
        <w:rPr>
          <w:rFonts w:hint="default" w:ascii="Arial" w:hAnsi="Arial" w:cs="Arial"/>
          <w:i w:val="0"/>
          <w:iCs w:val="0"/>
          <w:caps w:val="0"/>
          <w:color w:val="000000"/>
          <w:spacing w:val="0"/>
          <w:sz w:val="19"/>
          <w:szCs w:val="19"/>
        </w:rPr>
        <w:t>Заявитель вправе представить в комиссию указанные в пункте настоящего Положения документы и информацию по своей инициативе.</w:t>
      </w:r>
      <w:bookmarkEnd w:id="0"/>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2.3.2.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 настоящего регламента.</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1" w:name="_00015"/>
      <w:r>
        <w:rPr>
          <w:rFonts w:hint="default" w:ascii="Arial" w:hAnsi="Arial" w:cs="Arial"/>
          <w:i w:val="0"/>
          <w:iCs w:val="0"/>
          <w:caps w:val="0"/>
          <w:color w:val="000000"/>
          <w:spacing w:val="0"/>
          <w:sz w:val="19"/>
          <w:szCs w:val="19"/>
        </w:rPr>
        <w:t>2.3.3..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bookmarkEnd w:id="1"/>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2" w:name="_00016"/>
      <w:r>
        <w:rPr>
          <w:rFonts w:hint="default" w:ascii="Arial" w:hAnsi="Arial" w:cs="Arial"/>
          <w:i w:val="0"/>
          <w:iCs w:val="0"/>
          <w:caps w:val="0"/>
          <w:color w:val="000000"/>
          <w:spacing w:val="0"/>
          <w:sz w:val="19"/>
          <w:szCs w:val="19"/>
        </w:rPr>
        <w:t>а) сведения из Единого государственного реестра прав на недвижимое имущество и сделок с ним о правах на жилое помещение;</w:t>
      </w:r>
      <w:bookmarkEnd w:id="2"/>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3" w:name="_00017"/>
      <w:r>
        <w:rPr>
          <w:rFonts w:hint="default" w:ascii="Arial" w:hAnsi="Arial" w:cs="Arial"/>
          <w:i w:val="0"/>
          <w:iCs w:val="0"/>
          <w:caps w:val="0"/>
          <w:color w:val="000000"/>
          <w:spacing w:val="0"/>
          <w:sz w:val="19"/>
          <w:szCs w:val="19"/>
        </w:rPr>
        <w:t>б) технический паспорт жилого помещения, а для нежилых помещений - технический план;</w:t>
      </w:r>
      <w:bookmarkEnd w:id="3"/>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4" w:name="_00018"/>
      <w:r>
        <w:rPr>
          <w:rFonts w:hint="default" w:ascii="Arial" w:hAnsi="Arial" w:cs="Arial"/>
          <w:i w:val="0"/>
          <w:iCs w:val="0"/>
          <w:caps w:val="0"/>
          <w:color w:val="000000"/>
          <w:spacing w:val="0"/>
          <w:sz w:val="19"/>
          <w:szCs w:val="19"/>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bookmarkEnd w:id="4"/>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5" w:name="_00019"/>
      <w:r>
        <w:rPr>
          <w:rFonts w:hint="default" w:ascii="Arial" w:hAnsi="Arial" w:cs="Arial"/>
          <w:i w:val="0"/>
          <w:iCs w:val="0"/>
          <w:caps w:val="0"/>
          <w:color w:val="000000"/>
          <w:spacing w:val="0"/>
          <w:sz w:val="19"/>
          <w:szCs w:val="19"/>
        </w:rPr>
        <w:t>Комиссия вправе запрашивать эти документы в органах государственного надзора (контроля).</w:t>
      </w:r>
      <w:bookmarkEnd w:id="5"/>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2.3.4.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о соответствии помещения требованиям, предъявляемым к жилому помещению, и его пригодности для проживания;</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о выявлении оснований для признания помещения непригодным для проживания;</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о выявлении оснований для признания многоквартирного дома аварийным и подлежащим реконструкции;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о выявлении оснований для признания многоквартирного дома аварийным и подлежащим сносу;</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об отсутствии оснований для признания многоквартирного дома аварийным и подлежащим сносу или реконструкции.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случае обследования помещения комиссия составляет в 3 экземплярах акт обследования помещения по форме согласно приложению N 4.</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2.4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Руководитель администрации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6" w:name="_00103"/>
      <w:r>
        <w:rPr>
          <w:rFonts w:hint="default" w:ascii="Arial" w:hAnsi="Arial" w:cs="Arial"/>
          <w:i w:val="0"/>
          <w:iCs w:val="0"/>
          <w:caps w:val="0"/>
          <w:color w:val="000000"/>
          <w:spacing w:val="0"/>
          <w:sz w:val="19"/>
          <w:szCs w:val="19"/>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bookmarkEnd w:id="6"/>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2.5.Муниципальная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га «Признание жилых помещений непригодными для проживания граждан, признание многоквартирных домов аварийными и подлежащими сносу или реконструкции» пре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бесплатно.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2.6.Срок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40 минут.</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2.7.Предоставление муниципальной услуги осуществляется в соответствии законодательством Российской Федерации.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2.8. .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7" w:name="_00005"/>
      <w:r>
        <w:rPr>
          <w:rFonts w:hint="default" w:ascii="Arial" w:hAnsi="Arial" w:cs="Arial"/>
          <w:i w:val="0"/>
          <w:iCs w:val="0"/>
          <w:caps w:val="0"/>
          <w:color w:val="000000"/>
          <w:spacing w:val="0"/>
          <w:sz w:val="19"/>
          <w:szCs w:val="19"/>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bookmarkEnd w:id="7"/>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8" w:name="_00006"/>
      <w:r>
        <w:rPr>
          <w:rFonts w:hint="default" w:ascii="Arial" w:hAnsi="Arial" w:cs="Arial"/>
          <w:i w:val="0"/>
          <w:iCs w:val="0"/>
          <w:caps w:val="0"/>
          <w:color w:val="000000"/>
          <w:spacing w:val="0"/>
          <w:sz w:val="19"/>
          <w:szCs w:val="19"/>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bookmarkEnd w:id="8"/>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9" w:name="_00007"/>
      <w:r>
        <w:rPr>
          <w:rFonts w:hint="default" w:ascii="Arial" w:hAnsi="Arial" w:cs="Arial"/>
          <w:i w:val="0"/>
          <w:iCs w:val="0"/>
          <w:caps w:val="0"/>
          <w:color w:val="000000"/>
          <w:spacing w:val="0"/>
          <w:sz w:val="19"/>
          <w:szCs w:val="19"/>
        </w:rPr>
        <w:t>в) в отношении нежилого помещения для признания его в дальнейшем жилым помещением - проект реконструкции нежилого помещения;</w:t>
      </w:r>
      <w:bookmarkEnd w:id="9"/>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bookmarkStart w:id="10" w:name="_00008"/>
      <w:r>
        <w:rPr>
          <w:rFonts w:hint="default" w:ascii="Arial" w:hAnsi="Arial" w:cs="Arial"/>
          <w:i w:val="0"/>
          <w:iCs w:val="0"/>
          <w:caps w:val="0"/>
          <w:color w:val="000000"/>
          <w:spacing w:val="0"/>
          <w:sz w:val="19"/>
          <w:szCs w:val="19"/>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bookmarkEnd w:id="10"/>
    </w:p>
    <w:p>
      <w:pPr>
        <w:pStyle w:val="90"/>
        <w:keepNext w:val="0"/>
        <w:keepLines w:val="0"/>
        <w:widowControl/>
        <w:suppressLineNumbers w:val="0"/>
        <w:spacing w:before="0" w:beforeAutospacing="0" w:after="0" w:afterAutospacing="0" w:line="240" w:lineRule="auto"/>
        <w:ind w:left="190" w:leftChars="95" w:right="0" w:firstLine="330" w:firstLineChars="172"/>
        <w:jc w:val="both"/>
        <w:rPr>
          <w:rFonts w:hint="default" w:ascii="Times New Roman" w:hAnsi="Times New Roman" w:cs="Times New Roman"/>
          <w:i w:val="0"/>
          <w:iCs w:val="0"/>
          <w:caps w:val="0"/>
          <w:color w:val="000000"/>
          <w:spacing w:val="0"/>
          <w:sz w:val="19"/>
          <w:szCs w:val="19"/>
        </w:rPr>
      </w:pPr>
      <w:bookmarkStart w:id="11" w:name="_00009"/>
      <w:r>
        <w:rPr>
          <w:rFonts w:hint="default" w:ascii="Arial" w:hAnsi="Arial" w:cs="Arial"/>
          <w:i w:val="0"/>
          <w:iCs w:val="0"/>
          <w:caps w:val="0"/>
          <w:color w:val="000000"/>
          <w:spacing w:val="0"/>
          <w:sz w:val="19"/>
          <w:szCs w:val="19"/>
        </w:rPr>
        <w:t>д) заключение</w:t>
      </w:r>
      <w:r>
        <w:rPr>
          <w:rFonts w:hint="default" w:ascii="Arial" w:hAnsi="Arial" w:cs="Arial"/>
          <w:i w:val="0"/>
          <w:iCs w:val="0"/>
          <w:caps w:val="0"/>
          <w:color w:val="000000"/>
          <w:spacing w:val="0"/>
          <w:sz w:val="19"/>
          <w:szCs w:val="19"/>
          <w:lang w:val="ru-RU"/>
        </w:rPr>
        <w:t xml:space="preserve"> </w:t>
      </w:r>
      <w:r>
        <w:rPr>
          <w:rFonts w:hint="default" w:ascii="Arial" w:hAnsi="Arial" w:cs="Arial"/>
          <w:i w:val="0"/>
          <w:iCs w:val="0"/>
          <w:caps w:val="0"/>
          <w:color w:val="000000"/>
          <w:spacing w:val="0"/>
          <w:sz w:val="19"/>
          <w:szCs w:val="19"/>
        </w:rPr>
        <w:t>проектно</w:t>
      </w:r>
      <w:r>
        <w:rPr>
          <w:rFonts w:hint="default" w:ascii="Arial" w:hAnsi="Arial" w:cs="Arial"/>
          <w:i w:val="0"/>
          <w:iCs w:val="0"/>
          <w:caps w:val="0"/>
          <w:color w:val="000000"/>
          <w:spacing w:val="0"/>
          <w:sz w:val="19"/>
          <w:szCs w:val="19"/>
          <w:lang w:val="ru-RU"/>
        </w:rPr>
        <w:t>-</w:t>
      </w:r>
      <w:r>
        <w:rPr>
          <w:rFonts w:hint="default" w:ascii="Arial" w:hAnsi="Arial" w:cs="Arial"/>
          <w:i w:val="0"/>
          <w:iCs w:val="0"/>
          <w:caps w:val="0"/>
          <w:color w:val="000000"/>
          <w:spacing w:val="0"/>
          <w:sz w:val="19"/>
          <w:szCs w:val="19"/>
        </w:rPr>
        <w:t>изыскательской организации по результатам обследования элементов ограждающих и несущих конструкций жилого помещения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bookmarkEnd w:id="11"/>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е) заявления, письма, жалобы граждан на неудовлетворительные условия проживания - по усмотрению заявителя.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2.9. Документы, указанные в пункте 2.8. настоящего Административного регламента, могут быть представлены в администрацию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2.10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технический паспорт жилого помещения, а для нежилых помещений - технический план;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Днем обращения за предоставлением Муниципальной услуги считается дата получения документов специалистами. Обязанность подтверждения факта отправки документов лежит на заявителе.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2.11.В случае, если заявителем выступает орган, уполномоченный на проведение государственного контроля и надзора,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пункте 2.8. настоящего Административного регламента.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2.12.По усмотрению заявителя также могут быть предоставлены заявления, письма, жалобы граждан на неудовлетворительные условия проживания, документы, удостоверяющие социальный статус заявителя.</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2.13. При предоставлении муниципальной услуги, не вправе требовать от заявителя:</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ФЗ-210 от 27.07.2010г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ст.7 ФЗ-210 от 27.07.2010г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ФЗ-210 от 27.07.2010г;</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ФЗ-210 от 27.07.2010 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2.14. Непредставления заявителем документов, предусмотренных п. 2.8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 1.19. настоящего Административного регламента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2.15.Основанием для приостановления или отказа в предоставлении Муниципальной услуги является: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-не предоставление доступа в обследуемое помещение в назначенный день членам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-отзыв заявления и соответствующего пакета документов заявителем.</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-смерть заявителя.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2.16. Муниципальная услуга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r>
        <w:rPr>
          <w:rFonts w:hint="default" w:ascii="Arial" w:hAnsi="Arial" w:cs="Arial"/>
          <w:i w:val="0"/>
          <w:iCs w:val="0"/>
          <w:caps w:val="0"/>
          <w:spacing w:val="0"/>
          <w:sz w:val="19"/>
          <w:szCs w:val="19"/>
          <w:shd w:val="clear" w:fill="FFFFFF"/>
        </w:rPr>
        <w:fldChar w:fldCharType="begin"/>
      </w:r>
      <w:r>
        <w:rPr>
          <w:rFonts w:hint="default" w:ascii="Arial" w:hAnsi="Arial" w:cs="Arial"/>
          <w:i w:val="0"/>
          <w:iCs w:val="0"/>
          <w:caps w:val="0"/>
          <w:spacing w:val="0"/>
          <w:sz w:val="19"/>
          <w:szCs w:val="19"/>
          <w:shd w:val="clear" w:fill="FFFFFF"/>
        </w:rPr>
        <w:instrText xml:space="preserve"> HYPERLINK "http://pravo-search.minjust.ru:8080/bigs/showDocument.html?id=387507C3-B80D-4C0D-9291-8CDC81673F2B" \t "http://pravo-search.minjust.ru:8080/bigs/_blank" </w:instrText>
      </w:r>
      <w:r>
        <w:rPr>
          <w:rFonts w:hint="default" w:ascii="Arial" w:hAnsi="Arial" w:cs="Arial"/>
          <w:i w:val="0"/>
          <w:iCs w:val="0"/>
          <w:caps w:val="0"/>
          <w:spacing w:val="0"/>
          <w:sz w:val="19"/>
          <w:szCs w:val="19"/>
          <w:shd w:val="clear" w:fill="FFFFFF"/>
        </w:rPr>
        <w:fldChar w:fldCharType="separate"/>
      </w:r>
      <w:r>
        <w:rPr>
          <w:rStyle w:val="20"/>
          <w:rFonts w:hint="default" w:ascii="Arial" w:hAnsi="Arial" w:cs="Arial"/>
          <w:i w:val="0"/>
          <w:iCs w:val="0"/>
          <w:caps w:val="0"/>
          <w:color w:val="0000FF"/>
          <w:spacing w:val="0"/>
          <w:sz w:val="19"/>
          <w:szCs w:val="19"/>
          <w:u w:val="none"/>
          <w:shd w:val="clear" w:fill="FFFFFF"/>
        </w:rPr>
        <w:t>Градостроительным кодексом Российской Федерации</w:t>
      </w:r>
      <w:r>
        <w:rPr>
          <w:rFonts w:hint="default" w:ascii="Arial" w:hAnsi="Arial" w:cs="Arial"/>
          <w:i w:val="0"/>
          <w:iCs w:val="0"/>
          <w:caps w:val="0"/>
          <w:spacing w:val="0"/>
          <w:sz w:val="19"/>
          <w:szCs w:val="19"/>
          <w:shd w:val="clear" w:fill="FFFFFF"/>
        </w:rPr>
        <w:fldChar w:fldCharType="end"/>
      </w:r>
      <w:r>
        <w:rPr>
          <w:rFonts w:hint="default" w:ascii="Arial" w:hAnsi="Arial" w:cs="Arial"/>
          <w:i w:val="0"/>
          <w:iCs w:val="0"/>
          <w:caps w:val="0"/>
          <w:color w:val="000000"/>
          <w:spacing w:val="0"/>
          <w:sz w:val="19"/>
          <w:szCs w:val="19"/>
          <w:shd w:val="clear" w:fill="FFFFFF"/>
        </w:rPr>
        <w:t>.</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2.17. В перечень необходимых и обязательных услуг, предусматривающий обращение самого заявителя в иные организации, участвующие в предоставлении муниципальной услуги, входят:</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совершение нотариальных действий, путем освидетельствования верности копий правоустанавливающих документов на жилое помещение с подлинников;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выдача заключения специализированной организации, проводящей обследование дома, для признания многоквартирного дома аварийным;</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2.18. Документы, являющиеся результатом оказания Муниципальной услуги, выдаются (направляются) заявителю в течение 1 дня с момента подписания главой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2.19. Для работы специалиста Администрации помещение должно быть оснащено стульями, столами, персональным компьютером, другими устройствами, необходимыми для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2.20. Места ожидания должны соответствовать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закону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"http://pravo-search.minjust.ru:8080/bigs/showDocument.html?id=E999DCF9-926B-4FA1-9B51-8FD631C66B00"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24.11.1995 № 181-ФЗ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социальной защите инвалидов в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2.21. Показателям доступности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сокращение количества взаимодействий заявителя с должностными лицами при предоставлении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б) возможность получения информации о ходе предоставления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2.22. Показателями качества Муниципальной услуги являются: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 соблюдение срока предоставления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б) соблюдение сроков ожидания в очереди при предоставлении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2.23. Для оценки эффективности деятельности Администрации по предоставлению Муниципальной услуги, периодически осуществляется анализ и расчет показателей доступности и качества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2.24. Показатели доступности Муниципальной услуги характеризуются: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соотношением количества полученных заявлений в электронной форме к количеству бумажных заявлений;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2.25.Показатели качества муниципальной услуги характеризуются: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2.26.По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2.27.По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3.1.Предос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Муниципальной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 вклю</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ча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ет следующие административные процедуры: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прием и регистрация заявления и прилагаемого к нему пакета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проверка комплектности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составление заключения по результатам работы комиссии по оценке пригодности (непригодности) жилых помещений для постоянного проживания;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передача по одному экземпляру заключения заявителю и собственнику жилого помещения (третий экземпляр остается в деле, сформированном комиссией);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уведомление заявителя о принятом решении, по форме согласно приложению 2 к настоящему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 Для рассмотрения вопроса о признании помещения жилым помещением, жилого помещения непригодным для проживания заявитель представляет специалисту Администрации (секретарю комиссии) (далее – секретарь комиссии) заявление (приложение 1) на имя Руководителя администрации и документы, указанные в п. 2.8. настоящего Административного регламента.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3.3. В случае направления заявления по почте, к заявлению прикладываются документы, согласно п. 2.8. настоящего Административного регламента.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3.4. Секретарь комиссии принимает заявление и проверяет приложенные к заявлению документы на соответствие их установленному перечню.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3.5. Секретарь комиссии, после принятия документов заявителя передает их специалисту общего отдела в приемной здания администрации (далее – специалист приемной).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3.6. Специалист приемной в установленном порядке регистрирует представленное заявление и передает заявление и приложенные к нему документы главе администрации для рассмотрения и наложения визы, после чего заявление и приложенные к нему документы, передаются секретарю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3.7. Ответственным лицом за прием и проверку комплектности пакета документов является секретарь комиссии в соответствии с должностными обязанностями.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3.8. В случае несоответствия документов п. 2.8 настоящего Административного регламента, секретарь комиссии направляет заявителю уведомление об отказе в предоставлении муниципальной услуги с указанием соответствующих обоснований в течение одного рабочего дня со дня подписания главой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3.9. В случае если в комиссию представлено заключение органа, уполномоченного на проведение государственного контроля и надзора,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п.2.8 настоящего Административного регламента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3.10. В случае полноты и правильности составления представленных документов секретарь комиссии, уполномоченный на рассмотрение заявления и представленных документов, направляет пакет документов на рассмотрение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3.11. 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к секретарю комиссии с комплектом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3.12. Секретарь комиссии назначает проведение заседания комиссии для рассмотрения поступившего заявления.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3.13. Секретарь комиссии уведомляет членов комиссии о дате и времени заседания комиссии путем телефонного звонка или направления факсограмм, либо телефонограмм не позднее 7 дней до даты проведения заседания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3.14. Секретарь комиссии уведомляет заявителя о дате и времени заседания комиссии путем телефонного звонка или направления писем либо телефонограмм не позднее 7 дней до даты проведения заседания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3.15. Комиссия вправе самостоятельно выдавать заключения проведенных в отношении жилого помещения, мероприятий по контролю, необходимые для принятия решения о признании жилого помещения не соответствующим установленным требованиям, по которым жилое помещение может быть признано непригодным для проживания реконструированного ранее нежилого помещения.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3.16. По результатам работы комиссия принимает одно из решений, указанных в пункте 2.3. настоящего Административного регламента, либо принимается решение о проведении дополнительного обследования оцениваемого помещения.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3.17. 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3.18. По результатам обследования составляется акт обследования помещения (приложение 4) в 3-х экземплярах.</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3.19. 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3.20.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3.21. Заключение комиссии о признании не соответствующим установленным требованиям и непригодным для проживания граждан составляется в 3 экземплярах по форме согласно приложению 5 к настоящему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3.22. На основании полученного заключения комиссии секретарь комиссии в течение пяти рабочих дней готовит проект муниципального правового акта администрации с указанием о дальнейшем использовании помещения, сроках отселения физических и юридических лиц в случае признания непригодным 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3.23. Проект муниципального правового акта администрации подлежит согласованию в порядке, установленном инструкцией по работе с документами в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Срок осуществления процедуры составляет 30 дней со дня получения заключения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3.24. Основанием для начала процедуры уведомления заявителя о принятом решении является получение секретарем комиссии муниципального правового акта администрации.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3.25.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3.26. Подлинные экземпляры заявления и прилагаемые к нему документы хранятся у секретаря комиссии.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3.3.1.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3.3.5.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IV. Порядок и фор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мы кон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тро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ля за ис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полне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ем Ад</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тив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 регламен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4.1. Текущий контроль за процедурой приема и регистрацией заявлений на предоставление Муниципальной услуги осуществляет секретарь комиссии либо заместитель председателя комиссии по поручению.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административного регламента.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4.3.Проверки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4.4. Секретарь комиссии администрации несет персональную ответственность за: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соблюдение сроков и порядок приема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полноту и правильность оформления необходимых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проверку предоставленных заявлений и документов на предмет наличия полного комплекта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соблюдение сроков и порядок подготовки актов и заключений комиссии, проекта распоряжения;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своевременность уведомления заявителей и собственников (нанимателей) о принятом решении.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4.5.Секретарь комиссии администрации несет персональную ответственность за полноту и качество предоставления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4.6. В слу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чае вы</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яв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на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руше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прав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тив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шихся граж</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дан ви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ные ли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ца прив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ка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ют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к от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ветс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ности в 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от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ветс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твии с </w:t>
      </w:r>
      <w:r>
        <w:rPr>
          <w:rFonts w:hint="default" w:ascii="Arial" w:hAnsi="Arial" w:cs="Arial"/>
          <w:i w:val="0"/>
          <w:iCs w:val="0"/>
          <w:caps w:val="0"/>
          <w:spacing w:val="0"/>
          <w:sz w:val="19"/>
          <w:szCs w:val="19"/>
          <w:shd w:val="clear" w:fill="FFFFFF"/>
        </w:rPr>
        <w:fldChar w:fldCharType="begin"/>
      </w:r>
      <w:r>
        <w:rPr>
          <w:rFonts w:hint="default" w:ascii="Arial" w:hAnsi="Arial" w:cs="Arial"/>
          <w:i w:val="0"/>
          <w:iCs w:val="0"/>
          <w:caps w:val="0"/>
          <w:spacing w:val="0"/>
          <w:sz w:val="19"/>
          <w:szCs w:val="19"/>
          <w:shd w:val="clear" w:fill="FFFFFF"/>
        </w:rPr>
        <w:instrText xml:space="preserve"> HYPERLINK "http://pravo-search.minjust.ru:8080/bigs/showDocument.html?id=C351FA7F-3731-467C-9A38-00CE2ECBE619" \t "http://pravo-search.minjust.ru:8080/bigs/_blank" </w:instrText>
      </w:r>
      <w:r>
        <w:rPr>
          <w:rFonts w:hint="default" w:ascii="Arial" w:hAnsi="Arial" w:cs="Arial"/>
          <w:i w:val="0"/>
          <w:iCs w:val="0"/>
          <w:caps w:val="0"/>
          <w:spacing w:val="0"/>
          <w:sz w:val="19"/>
          <w:szCs w:val="19"/>
          <w:shd w:val="clear" w:fill="FFFFFF"/>
        </w:rPr>
        <w:fldChar w:fldCharType="separate"/>
      </w:r>
      <w:r>
        <w:rPr>
          <w:rStyle w:val="20"/>
          <w:rFonts w:hint="default" w:ascii="Arial" w:hAnsi="Arial" w:cs="Arial"/>
          <w:i w:val="0"/>
          <w:iCs w:val="0"/>
          <w:caps w:val="0"/>
          <w:color w:val="0000FF"/>
          <w:spacing w:val="0"/>
          <w:sz w:val="19"/>
          <w:szCs w:val="19"/>
          <w:u w:val="none"/>
          <w:shd w:val="clear" w:fill="FFFFFF"/>
        </w:rPr>
        <w:t>Кодексом Российской Федерации об административных правонарушениях</w:t>
      </w:r>
      <w:r>
        <w:rPr>
          <w:rFonts w:hint="default" w:ascii="Arial" w:hAnsi="Arial" w:cs="Arial"/>
          <w:i w:val="0"/>
          <w:iCs w:val="0"/>
          <w:caps w:val="0"/>
          <w:spacing w:val="0"/>
          <w:sz w:val="19"/>
          <w:szCs w:val="19"/>
          <w:shd w:val="clear" w:fill="FFFFFF"/>
        </w:rPr>
        <w:fldChar w:fldCharType="end"/>
      </w:r>
      <w:r>
        <w:rPr>
          <w:rFonts w:hint="default" w:ascii="Arial" w:hAnsi="Arial" w:cs="Arial"/>
          <w:i w:val="0"/>
          <w:iCs w:val="0"/>
          <w:caps w:val="0"/>
          <w:color w:val="000000"/>
          <w:spacing w:val="0"/>
          <w:sz w:val="19"/>
          <w:szCs w:val="19"/>
          <w:shd w:val="clear" w:fill="FFFFFF"/>
        </w:rPr>
        <w:t> и дру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гими за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коно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датель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ми ак</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ми Рос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сий</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ской Фе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дера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4.7.Све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дения, 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дер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еся в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щени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ях, а так</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же пер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наль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ные дан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ные За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яви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теля мо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гут ис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поль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зо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вать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толь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ко в слу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жеб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ных це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лях и в 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от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ветс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твии с пол</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мочи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ями ли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ца, 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бота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юще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 с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щени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ем. Зап</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раз</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гла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шение 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дер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щей</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в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щении ин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форма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ции о час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тной жиз</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тив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шихся граж</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дан без их сог</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сия. Не яв</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ля</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ет</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раз</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гла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шени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ем све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дений, со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дер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щих</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ся в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щении, нап</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ние пись</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 об</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щения в дру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гой го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сударс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твен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ный ор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ган, ор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ган мес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 са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уп</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равле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ния или дол</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жностно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му ли</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цу, в ком</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пе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цию ко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торых вхо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дит ре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шение пос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тавлен</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ных воп</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сов.</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Главу 5 изложить в следующей редакции:</w:t>
      </w:r>
    </w:p>
    <w:p>
      <w:pPr>
        <w:pStyle w:val="90"/>
        <w:keepNext w:val="0"/>
        <w:keepLines w:val="0"/>
        <w:widowControl/>
        <w:suppressLineNumbers w:val="0"/>
        <w:spacing w:before="0" w:beforeAutospacing="0" w:after="0" w:afterAutospacing="0" w:line="240" w:lineRule="auto"/>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5.2. </w:t>
      </w:r>
      <w:r>
        <w:rPr>
          <w:rFonts w:hint="default" w:ascii="Arial" w:hAnsi="Arial" w:cs="Arial"/>
          <w:i w:val="0"/>
          <w:iCs w:val="0"/>
          <w:caps w:val="0"/>
          <w:color w:val="000000"/>
          <w:spacing w:val="0"/>
          <w:sz w:val="19"/>
          <w:szCs w:val="19"/>
        </w:rPr>
        <w:t>Заявитель может обратиться с жалобой, в том числе в следующих случаях</w:t>
      </w:r>
      <w:r>
        <w:rPr>
          <w:rFonts w:hint="default" w:ascii="Arial" w:hAnsi="Arial" w:cs="Arial"/>
          <w:i w:val="0"/>
          <w:iCs w:val="0"/>
          <w:caps w:val="0"/>
          <w:color w:val="000000"/>
          <w:spacing w:val="0"/>
          <w:sz w:val="19"/>
          <w:szCs w:val="19"/>
          <w:shd w:val="clear" w:fill="FFFFFF"/>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"http://pravo-search.minjust.ru:8080/bigs/showDocument.html?id=C4B5A4DE-7784-45AB-8810-BFA4B11176A6"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06.07.2020 г. № 13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Нарушений срока регистрации запроса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Нарушение срока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Нарушение срока или порядка выдачи документов по результатам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hint="default" w:ascii="Arial" w:hAnsi="Arial" w:cs="Arial"/>
          <w:i w:val="0"/>
          <w:iCs w:val="0"/>
          <w:caps w:val="0"/>
          <w:color w:val="000000"/>
          <w:spacing w:val="0"/>
          <w:sz w:val="19"/>
          <w:szCs w:val="19"/>
          <w:shd w:val="clear" w:fill="FFFFFF"/>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5.3.2. Жалоба подлежит регистрации не позднее следующего рабочего дня со дня ее поступления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5.3.4. Жалоба подается на имя Руководителя администрации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5.3.5. Жалоба должна содержать: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5.3.6.1. Оформленная в соответствии с законодательством Российской Федерации доверенность (для физических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5.3.8. Заявители имеют право обратиться в Администрацию за получением информации и документов, необходимых для обоснования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5.3.9.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5.3.10. По результатам рассмотрения жалобы принимается одно из следующих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5.3.10.1.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5.3.10.2. Об отказе в удовлетворении жалобы.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5.3.10.3.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(часть 8.1 введена Федеральным законом от 19.07.2018 N 204-ФЗ)</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5.3.10.4.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(часть 8.2 введена Федеральным законом от 19.07.2018 N 204-ФЗ)</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5.3.10.5.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V. Досудебный (внесудебный по</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рядок обжалования решений и дей</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ствий (бездей</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ствия) ор</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га</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на местного самоуправления, предоставляюще</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го муниципальную ус</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лу</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гу, а так</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же дол</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жностных лиц, муниципальных служащих</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 Заявитель может обратиться с жалобой в том числе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2" w:name="dst220"/>
      <w:bookmarkEnd w:id="12"/>
      <w:r>
        <w:rPr>
          <w:rFonts w:hint="default" w:ascii="Arial" w:hAnsi="Arial" w:cs="Arial"/>
          <w:i w:val="0"/>
          <w:iCs w:val="0"/>
          <w:caps w:val="0"/>
          <w:color w:val="000000"/>
          <w:spacing w:val="0"/>
          <w:sz w:val="19"/>
          <w:szCs w:val="19"/>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№210- Ф3;</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3" w:name="dst221"/>
      <w:bookmarkEnd w:id="13"/>
      <w:r>
        <w:rPr>
          <w:rFonts w:hint="default" w:ascii="Arial" w:hAnsi="Arial" w:cs="Arial"/>
          <w:i w:val="0"/>
          <w:iCs w:val="0"/>
          <w:caps w:val="0"/>
          <w:color w:val="000000"/>
          <w:spacing w:val="0"/>
          <w:sz w:val="19"/>
          <w:szCs w:val="19"/>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№210-Ф3;</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(п. 2 в ред. Федерального закона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4" w:name="dst102"/>
      <w:bookmarkEnd w:id="14"/>
      <w:r>
        <w:rPr>
          <w:rFonts w:hint="default" w:ascii="Arial" w:hAnsi="Arial" w:cs="Arial"/>
          <w:i w:val="0"/>
          <w:iCs w:val="0"/>
          <w:caps w:val="0"/>
          <w:color w:val="000000"/>
          <w:spacing w:val="0"/>
          <w:sz w:val="19"/>
          <w:szCs w:val="19"/>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5" w:name="dst103"/>
      <w:bookmarkEnd w:id="15"/>
      <w:r>
        <w:rPr>
          <w:rFonts w:hint="default" w:ascii="Arial" w:hAnsi="Arial" w:cs="Arial"/>
          <w:i w:val="0"/>
          <w:iCs w:val="0"/>
          <w:caps w:val="0"/>
          <w:color w:val="000000"/>
          <w:spacing w:val="0"/>
          <w:sz w:val="19"/>
          <w:szCs w:val="19"/>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6" w:name="dst222"/>
      <w:bookmarkEnd w:id="16"/>
      <w:r>
        <w:rPr>
          <w:rFonts w:hint="default" w:ascii="Arial" w:hAnsi="Arial" w:cs="Arial"/>
          <w:i w:val="0"/>
          <w:iCs w:val="0"/>
          <w:caps w:val="0"/>
          <w:color w:val="000000"/>
          <w:spacing w:val="0"/>
          <w:sz w:val="19"/>
          <w:szCs w:val="19"/>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№210-Ф3;</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(п. 5 в ред. Федерального закона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7" w:name="dst105"/>
      <w:bookmarkEnd w:id="17"/>
      <w:r>
        <w:rPr>
          <w:rFonts w:hint="default" w:ascii="Arial" w:hAnsi="Arial" w:cs="Arial"/>
          <w:i w:val="0"/>
          <w:iCs w:val="0"/>
          <w:caps w:val="0"/>
          <w:color w:val="000000"/>
          <w:spacing w:val="0"/>
          <w:sz w:val="19"/>
          <w:szCs w:val="19"/>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8" w:name="dst223"/>
      <w:bookmarkEnd w:id="18"/>
      <w:r>
        <w:rPr>
          <w:rFonts w:hint="default" w:ascii="Arial" w:hAnsi="Arial" w:cs="Arial"/>
          <w:i w:val="0"/>
          <w:iCs w:val="0"/>
          <w:caps w:val="0"/>
          <w:color w:val="000000"/>
          <w:spacing w:val="0"/>
          <w:sz w:val="19"/>
          <w:szCs w:val="19"/>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№210-Ф3,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№210-Ф3;</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(п. 7 в ред. Федерального закона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9" w:name="dst224"/>
      <w:bookmarkEnd w:id="19"/>
      <w:r>
        <w:rPr>
          <w:rFonts w:hint="default" w:ascii="Arial" w:hAnsi="Arial" w:cs="Arial"/>
          <w:i w:val="0"/>
          <w:iCs w:val="0"/>
          <w:caps w:val="0"/>
          <w:color w:val="000000"/>
          <w:spacing w:val="0"/>
          <w:sz w:val="19"/>
          <w:szCs w:val="19"/>
        </w:rPr>
        <w:t>8) нарушение срока или порядка выдачи документов по результатам предоставления государственной или муниципальной услуги;</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(п. 8 введен Федеральным законом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20" w:name="dst225"/>
      <w:bookmarkEnd w:id="20"/>
      <w:r>
        <w:rPr>
          <w:rFonts w:hint="default" w:ascii="Arial" w:hAnsi="Arial" w:cs="Arial"/>
          <w:i w:val="0"/>
          <w:iCs w:val="0"/>
          <w:caps w:val="0"/>
          <w:color w:val="000000"/>
          <w:spacing w:val="0"/>
          <w:sz w:val="19"/>
          <w:szCs w:val="19"/>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№210-Ф3.</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(п. 9 введен Федеральным законом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5.2.Основанием для начала досудебного (внесудебного) обжалования является поступление жалобы от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5.3. 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№210-Ф3,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(часть 2 в ред. Федерального закона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№210-Ф3.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(часть 1 в ред. Федерального закона от 29.12.2017 N 479-ФЗ)</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5.4.Заявитель указывает в жалобе следующую информацию: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фамилия, имя, отчество, адрес места жительства для физического лица, наименование, место нахождения для юридического лица;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указание на лица, участвующие в предоставлении Муниципальной услуги, которые нарушают права и законные интересы нарушителя;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суть нарушения прав и законных интересов, противоправного решения, действия (бездействия);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способ информирования заявителя о принятых мерах по результатам рассмотрения его жалобы;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иные сведения, которые заявитель считает необходимым сообщить.</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случае необходимости в подтверждение своих доводов заявитель прилагает к письменной жалобе документы и материалы либо их копии.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5.5.Если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Рассмотрение жалобы также может быть приостановлено по заявлению заявителя о приостановлении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№210-Ф3,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№210-Ф3,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(часть 6 в ред. Федерального закона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5.7. По результатам рассмотрения жалобы принимается одно из следующих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21" w:name="dst235"/>
      <w:bookmarkEnd w:id="21"/>
      <w:r>
        <w:rPr>
          <w:rFonts w:hint="default" w:ascii="Arial" w:hAnsi="Arial" w:cs="Arial"/>
          <w:i w:val="0"/>
          <w:iCs w:val="0"/>
          <w:caps w:val="0"/>
          <w:color w:val="000000"/>
          <w:spacing w:val="0"/>
          <w:sz w:val="19"/>
          <w:szCs w:val="19"/>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удовлетворении жалобы отказывается.</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(часть 7 в ред. Федерального закона от 29.12.2017 N 479-ФЗ)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22" w:name="dst121"/>
      <w:bookmarkEnd w:id="22"/>
      <w:r>
        <w:rPr>
          <w:rFonts w:hint="default" w:ascii="Arial" w:hAnsi="Arial" w:cs="Arial"/>
          <w:i w:val="0"/>
          <w:iCs w:val="0"/>
          <w:caps w:val="0"/>
          <w:color w:val="000000"/>
          <w:spacing w:val="0"/>
          <w:sz w:val="19"/>
          <w:szCs w:val="19"/>
        </w:rPr>
        <w:t>2. Не позднее дня, следующего за днем принятия решения, указанного в п. 1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23" w:name="dst237"/>
      <w:bookmarkEnd w:id="23"/>
      <w:r>
        <w:rPr>
          <w:rFonts w:hint="default" w:ascii="Arial" w:hAnsi="Arial" w:cs="Arial"/>
          <w:i w:val="0"/>
          <w:iCs w:val="0"/>
          <w:caps w:val="0"/>
          <w:color w:val="000000"/>
          <w:spacing w:val="0"/>
          <w:sz w:val="19"/>
          <w:szCs w:val="19"/>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pPr>
        <w:pStyle w:val="90"/>
        <w:keepNext w:val="0"/>
        <w:keepLines w:val="0"/>
        <w:widowControl/>
        <w:suppressLineNumbers w:val="0"/>
        <w:shd w:val="clear" w:fill="F4F3F8"/>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4F3F8"/>
        </w:rPr>
        <w:t>(в ред. Федерального закона от 29.12.2017 N 479-ФЗ)</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5.8.Заявители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Приложение 1</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предоставлению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«Признание жилых помещений непригодными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межведомственную комиссию</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рассмотрению вопроса о непригодности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жилых домов для постоянного проживания</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ЗАЯВЛЕНИЕ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Прошу Вас провести оценку жилого объекта, расположенного по адресу: ____________________________________________________________________________ и признать его пригодным (непригодным) для проживания и многоквартирный дом аварийным и подлежащим сносу или реконструкции.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Необходимые документы прилагаю: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Заявитель _______________________ _________________________________</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(расшифровка подписи)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Дата обращения «_____» _____________________ 20 ___ г.</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Приложение 2</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предоставлению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«Признание жилых помещений непригодными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заявителя</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адрес проживания</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Уведомление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Администрация МО СП «Хасуртайское» уведомляет о том, что в соответствии с заключением межведомственной комиссии по рассмотрению вопроса о непригодности жилых домов и жилых помещений для постоянного проживания от «____» __________________ 20___г. № _____ и постановлением администрации МО СП «Хасуртайское» от «____» __________________ 20___г. № _____ жилое помещение (многоквартирный дом), расположенное по адресу :_______________ признано ____________________________________________.</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Должностное лицо (наименование должности, подпись, расшифровка подписи).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sectPr>
          <w:pgSz w:w="11906" w:h="16838"/>
          <w:pgMar w:top="1440" w:right="706" w:bottom="1440" w:left="1000" w:header="720" w:footer="720" w:gutter="0"/>
          <w:cols w:space="720" w:num="1"/>
          <w:docGrid w:linePitch="360" w:charSpace="0"/>
        </w:sect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Приложение 3</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предоставлению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«Признание жилых помещений</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непригодными 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Блок-схема предоставления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tbl>
      <w:tblPr>
        <w:tblW w:w="22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982"/>
        <w:gridCol w:w="678"/>
        <w:gridCol w:w="3566"/>
        <w:gridCol w:w="678"/>
        <w:gridCol w:w="2787"/>
        <w:gridCol w:w="2663"/>
        <w:gridCol w:w="6540"/>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2058" w:type="dxa"/>
            <w:gridSpan w:val="8"/>
            <w:tcBorders>
              <w:top w:val="single" w:color="000000" w:sz="8" w:space="0"/>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Прием и регистрация заявления</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и прилагаемых к нему обосновывающих документов заявителя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22058" w:type="dxa"/>
            <w:gridSpan w:val="8"/>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2058" w:type="dxa"/>
            <w:gridSpan w:val="8"/>
            <w:tcBorders>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Рассмотрение заявления и прилагаемых к нему документов ответственным лицом</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(секретарем межведомственной комиссии).</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По результатам рассмотрения принимается одно из следующих решений: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trPr>
        <w:tc>
          <w:tcPr>
            <w:tcW w:w="22058" w:type="dxa"/>
            <w:gridSpan w:val="8"/>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wAfter w:w="8704" w:type="dxa"/>
          <w:trHeight w:val="540" w:hRule="atLeast"/>
        </w:trPr>
        <w:tc>
          <w:tcPr>
            <w:tcW w:w="2982" w:type="dxa"/>
            <w:tcBorders>
              <w:top w:val="single" w:color="000000" w:sz="8" w:space="0"/>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Работа межведомственной комиссии</w:t>
            </w:r>
          </w:p>
        </w:tc>
        <w:tc>
          <w:tcPr>
            <w:tcW w:w="678" w:type="dxa"/>
            <w:vMerge w:val="restart"/>
            <w:tcBorders>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3566" w:type="dxa"/>
            <w:vMerge w:val="restart"/>
            <w:tcBorders>
              <w:top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Приостановление предоставления муниципальной услуги для устранения причин приостановления</w:t>
            </w:r>
          </w:p>
        </w:tc>
        <w:tc>
          <w:tcPr>
            <w:tcW w:w="678" w:type="dxa"/>
            <w:vMerge w:val="restart"/>
            <w:tcBorders>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5450" w:type="dxa"/>
            <w:gridSpan w:val="2"/>
            <w:tcBorders>
              <w:top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Отказ в предоставлении</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Муниципальной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wAfter w:w="8704" w:type="dxa"/>
          <w:trHeight w:val="540" w:hRule="atLeast"/>
        </w:trPr>
        <w:tc>
          <w:tcPr>
            <w:tcW w:w="2982" w:type="dxa"/>
            <w:vMerge w:val="restart"/>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678" w:type="dxa"/>
            <w:vMerge w:val="continue"/>
            <w:tcBorders>
              <w:right w:val="single" w:color="000000" w:sz="8" w:space="0"/>
            </w:tcBorders>
            <w:shd w:val="clear" w:color="auto" w:fill="FFFFFF"/>
            <w:tcMar>
              <w:left w:w="100" w:type="dxa"/>
              <w:right w:w="100" w:type="dxa"/>
            </w:tcMar>
            <w:vAlign w:val="top"/>
          </w:tcPr>
          <w:p>
            <w:pPr>
              <w:rPr>
                <w:rFonts w:hint="default" w:ascii="Arial" w:hAnsi="Arial" w:cs="Arial"/>
                <w:caps w:val="0"/>
                <w:spacing w:val="0"/>
                <w:sz w:val="24"/>
                <w:szCs w:val="24"/>
              </w:rPr>
            </w:pPr>
          </w:p>
        </w:tc>
        <w:tc>
          <w:tcPr>
            <w:tcW w:w="3566" w:type="dxa"/>
            <w:vMerge w:val="continue"/>
            <w:tcBorders>
              <w:top w:val="single" w:color="000000" w:sz="8" w:space="0"/>
              <w:bottom w:val="single" w:color="000000" w:sz="8" w:space="0"/>
              <w:right w:val="single" w:color="000000" w:sz="8" w:space="0"/>
            </w:tcBorders>
            <w:shd w:val="clear" w:color="auto" w:fill="FFFFFF"/>
            <w:tcMar>
              <w:left w:w="100" w:type="dxa"/>
              <w:right w:w="100" w:type="dxa"/>
            </w:tcMar>
            <w:vAlign w:val="top"/>
          </w:tcPr>
          <w:p>
            <w:pPr>
              <w:rPr>
                <w:rFonts w:hint="default" w:ascii="Arial" w:hAnsi="Arial" w:cs="Arial"/>
                <w:caps w:val="0"/>
                <w:spacing w:val="0"/>
                <w:sz w:val="24"/>
                <w:szCs w:val="24"/>
              </w:rPr>
            </w:pPr>
          </w:p>
        </w:tc>
        <w:tc>
          <w:tcPr>
            <w:tcW w:w="678" w:type="dxa"/>
            <w:vMerge w:val="continue"/>
            <w:tcBorders>
              <w:right w:val="single" w:color="000000" w:sz="8" w:space="0"/>
            </w:tcBorders>
            <w:shd w:val="clear" w:color="auto" w:fill="FFFFFF"/>
            <w:tcMar>
              <w:left w:w="100" w:type="dxa"/>
              <w:right w:w="100" w:type="dxa"/>
            </w:tcMar>
            <w:vAlign w:val="top"/>
          </w:tcPr>
          <w:p>
            <w:pPr>
              <w:rPr>
                <w:rFonts w:hint="default" w:ascii="Arial" w:hAnsi="Arial" w:cs="Arial"/>
                <w:caps w:val="0"/>
                <w:spacing w:val="0"/>
                <w:sz w:val="24"/>
                <w:szCs w:val="24"/>
              </w:rPr>
            </w:pPr>
          </w:p>
        </w:tc>
        <w:tc>
          <w:tcPr>
            <w:tcW w:w="5450" w:type="dxa"/>
            <w:gridSpan w:val="2"/>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wAfter w:w="8704" w:type="dxa"/>
          <w:trHeight w:val="480" w:hRule="atLeast"/>
        </w:trPr>
        <w:tc>
          <w:tcPr>
            <w:tcW w:w="2982" w:type="dxa"/>
            <w:vMerge w:val="continue"/>
            <w:shd w:val="clear" w:color="auto" w:fill="FFFFFF"/>
            <w:tcMar>
              <w:left w:w="100" w:type="dxa"/>
              <w:right w:w="100" w:type="dxa"/>
            </w:tcMar>
            <w:vAlign w:val="top"/>
          </w:tcPr>
          <w:p>
            <w:pPr>
              <w:rPr>
                <w:rFonts w:hint="default" w:ascii="Arial" w:hAnsi="Arial" w:cs="Arial"/>
                <w:caps w:val="0"/>
                <w:spacing w:val="0"/>
                <w:sz w:val="24"/>
                <w:szCs w:val="24"/>
              </w:rPr>
            </w:pPr>
          </w:p>
        </w:tc>
        <w:tc>
          <w:tcPr>
            <w:tcW w:w="678" w:type="dxa"/>
            <w:vMerge w:val="continue"/>
            <w:tcBorders>
              <w:right w:val="single" w:color="000000" w:sz="8" w:space="0"/>
            </w:tcBorders>
            <w:shd w:val="clear" w:color="auto" w:fill="FFFFFF"/>
            <w:tcMar>
              <w:left w:w="100" w:type="dxa"/>
              <w:right w:w="100" w:type="dxa"/>
            </w:tcMar>
            <w:vAlign w:val="top"/>
          </w:tcPr>
          <w:p>
            <w:pPr>
              <w:rPr>
                <w:rFonts w:hint="default" w:ascii="Arial" w:hAnsi="Arial" w:cs="Arial"/>
                <w:caps w:val="0"/>
                <w:spacing w:val="0"/>
                <w:sz w:val="24"/>
                <w:szCs w:val="24"/>
              </w:rPr>
            </w:pPr>
          </w:p>
        </w:tc>
        <w:tc>
          <w:tcPr>
            <w:tcW w:w="3566" w:type="dxa"/>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6128" w:type="dxa"/>
            <w:gridSpan w:val="3"/>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wAfter w:w="8704" w:type="dxa"/>
        </w:trPr>
        <w:tc>
          <w:tcPr>
            <w:tcW w:w="2982" w:type="dxa"/>
            <w:vMerge w:val="continue"/>
            <w:shd w:val="clear" w:color="auto" w:fill="FFFFFF"/>
            <w:tcMar>
              <w:left w:w="100" w:type="dxa"/>
              <w:right w:w="100" w:type="dxa"/>
            </w:tcMar>
            <w:vAlign w:val="top"/>
          </w:tcPr>
          <w:p>
            <w:pPr>
              <w:rPr>
                <w:rFonts w:hint="default" w:ascii="Arial" w:hAnsi="Arial" w:cs="Arial"/>
                <w:caps w:val="0"/>
                <w:spacing w:val="0"/>
                <w:sz w:val="24"/>
                <w:szCs w:val="24"/>
              </w:rPr>
            </w:pPr>
          </w:p>
        </w:tc>
        <w:tc>
          <w:tcPr>
            <w:tcW w:w="678" w:type="dxa"/>
            <w:vMerge w:val="continue"/>
            <w:tcBorders>
              <w:right w:val="single" w:color="000000" w:sz="8" w:space="0"/>
            </w:tcBorders>
            <w:shd w:val="clear" w:color="auto" w:fill="FFFFFF"/>
            <w:tcMar>
              <w:left w:w="100" w:type="dxa"/>
              <w:right w:w="100" w:type="dxa"/>
            </w:tcMar>
            <w:vAlign w:val="top"/>
          </w:tcPr>
          <w:p>
            <w:pPr>
              <w:rPr>
                <w:rFonts w:hint="default" w:ascii="Arial" w:hAnsi="Arial" w:cs="Arial"/>
                <w:caps w:val="0"/>
                <w:spacing w:val="0"/>
                <w:sz w:val="24"/>
                <w:szCs w:val="24"/>
              </w:rPr>
            </w:pPr>
          </w:p>
        </w:tc>
        <w:tc>
          <w:tcPr>
            <w:tcW w:w="3566" w:type="dxa"/>
            <w:tcBorders>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Устранение причин</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приостановления</w:t>
            </w:r>
          </w:p>
        </w:tc>
        <w:tc>
          <w:tcPr>
            <w:tcW w:w="6128" w:type="dxa"/>
            <w:gridSpan w:val="3"/>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691" w:type="dxa"/>
            <w:gridSpan w:val="5"/>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9203" w:type="dxa"/>
            <w:gridSpan w:val="2"/>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0" w:hRule="atLeast"/>
        </w:trPr>
        <w:tc>
          <w:tcPr>
            <w:tcW w:w="19894" w:type="dxa"/>
            <w:gridSpan w:val="7"/>
            <w:tcBorders>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9894" w:type="dxa"/>
            <w:gridSpan w:val="7"/>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94" w:type="dxa"/>
            <w:gridSpan w:val="7"/>
            <w:tcBorders>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9894" w:type="dxa"/>
            <w:gridSpan w:val="7"/>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94" w:type="dxa"/>
            <w:gridSpan w:val="7"/>
            <w:tcBorders>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Подготовка проекта решения органа местного самоуправления и его подписание руководителем</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trPr>
        <w:tc>
          <w:tcPr>
            <w:tcW w:w="19894" w:type="dxa"/>
            <w:gridSpan w:val="7"/>
            <w:tcBorders>
              <w:bottom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94" w:type="dxa"/>
            <w:gridSpan w:val="7"/>
            <w:tcBorders>
              <w:left w:val="single" w:color="000000" w:sz="8" w:space="0"/>
              <w:bottom w:val="single" w:color="000000" w:sz="8" w:space="0"/>
              <w:right w:val="single" w:color="000000" w:sz="8" w:space="0"/>
            </w:tcBorders>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Передача по одному экземпляру решения и заключения заявителю</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и собственнику</w:t>
            </w:r>
          </w:p>
        </w:tc>
        <w:tc>
          <w:tcPr>
            <w:tcW w:w="2164" w:type="dxa"/>
            <w:shd w:val="clear" w:color="auto" w:fill="FFFFFF"/>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bl>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shd w:val="clear" w:fill="FFFFFF"/>
        </w:rPr>
        <w:sectPr>
          <w:pgSz w:w="16838" w:h="11906" w:orient="landscape"/>
          <w:pgMar w:top="998" w:right="598" w:bottom="709" w:left="1440" w:header="720" w:footer="720" w:gutter="0"/>
          <w:paperSrc/>
          <w:cols w:space="0" w:num="1"/>
          <w:rtlGutter w:val="0"/>
          <w:docGrid w:linePitch="360" w:charSpace="0"/>
        </w:sectPr>
      </w:pP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Приложение 4</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предоставлению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«Признание жилых помещений пригодными (непригодными)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для проживания граждан, признание</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многоквартирных домов аварийными и подлежащими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сносу или реконструкции»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АКТ</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обследования помещения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____ «___» _____________20__</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(месторасположение помещения, в том числе наименования населенного пункта и улицы, номера дома и квартиры)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Межведомственная комиссия, назначенная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составе председателя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и членов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 участии приглашенных экспертов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и приглашенного собственника помещения или уполномоченного им лица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произвела обследование помещения по заявлению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(реквизиты заявителя: ф.и.о. и адрес - для физического лица, наименование организации и занимаемая должность - для юридического лица)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и составила настоящий акт обследования помещения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(адрес, принадлежность помещения, кадастровый номер, год ввода в эксплуатацию)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Краткое описание состояния жилого помещения, инженерных систем здания, оборудования и механизмов и прилегающей к зданию территории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Оценка результатов проведенного инструментального контроля и других видов контроля и исследований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(кем проведен контроль (испытание), по каким показателям, какие фактические значения получены)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Заключение межведомственной комиссии по результатам обследования помещения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Председатель межведомственной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Члены межведомственной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Приложение 5</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 административному регламенту</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предоставлению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«Признание жилых помещений непригодными</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ЗАКЛЮЧЕНИЕ</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о признании помещений жилыми помещениями, жилых помещений непригодным для проживания граждан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____ «___» ___________________ 20__ г.</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(месторасположение помещения, в том числе наименования населенного пункта и улицы, номера дома и квартиры)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Межведомственная комиссия, назначенная, постановлением администрации МО СП «Хасуртайское» № _____ от «___»________________20</w:t>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softHyphen/>
      </w:r>
      <w:r>
        <w:rPr>
          <w:rFonts w:hint="default" w:ascii="Arial" w:hAnsi="Arial" w:cs="Arial"/>
          <w:i w:val="0"/>
          <w:iCs w:val="0"/>
          <w:caps w:val="0"/>
          <w:color w:val="000000"/>
          <w:spacing w:val="0"/>
          <w:sz w:val="19"/>
          <w:szCs w:val="19"/>
          <w:shd w:val="clear" w:fill="FFFFFF"/>
        </w:rPr>
        <w:t>_____ года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составе председателя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и членов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 участии приглашенных экспертов и приглашенного собственника помещения или уполномоченного им лица: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(ф.и.о., занимаемая должность и место работы)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 результатам рассмотренных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_</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(приводится перечень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и на основании решения межведомственной комиссии, дополнительное обследование проводилось (не проводилось)</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Комиссия приняла заключение 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Приложение к заключению: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а) перечень рассмотренных документов;</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б) акт обследования помещения (в случае проведения обследования);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перечень других материалов, запрошенных межведомственной комиссией;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г) особое мнение членов межведомственной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Председатель межведомственной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Члены межведомственной комиссии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(подпись) (ф.и.о.)</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w:t>
      </w:r>
    </w:p>
    <w:p/>
    <w:p>
      <w:pPr>
        <w:rPr>
          <w:lang w:val="en-US"/>
        </w:rPr>
      </w:pPr>
    </w:p>
    <w:sectPr>
      <w:pgSz w:w="11906" w:h="16838"/>
      <w:pgMar w:top="1440" w:right="7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B53AE"/>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55445CE"/>
    <w:rsid w:val="3D2E204C"/>
    <w:rsid w:val="51DB53AE"/>
    <w:rsid w:val="71327A78"/>
    <w:rsid w:val="7609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uiPriority w:val="0"/>
  </w:style>
  <w:style w:type="paragraph" w:styleId="96">
    <w:name w:val="List Continue 2"/>
    <w:basedOn w:val="1"/>
    <w:qFormat/>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uiPriority w:val="0"/>
    <w:pPr>
      <w:wordWrap w:val="0"/>
      <w:spacing w:line="240" w:lineRule="auto"/>
      <w:jc w:val="right"/>
    </w:pPr>
    <w:rPr>
      <w:rFonts w:ascii="Times New Roman" w:hAnsi="Times New Roman" w:cs="Times New Roman" w:eastAsiaTheme="minorEastAsia"/>
      <w:b/>
      <w:sz w:val="28"/>
      <w:szCs w:val="28"/>
      <w:lang w:val="ru-RU" w:eastAsia="en-US"/>
    </w:rPr>
  </w:style>
  <w:style w:type="paragraph" w:customStyle="1" w:styleId="152">
    <w:name w:val="Стиль2"/>
    <w:basedOn w:val="1"/>
    <w:uiPriority w:val="0"/>
    <w:pPr>
      <w:wordWrap w:val="0"/>
      <w:spacing w:line="240" w:lineRule="auto"/>
      <w:jc w:val="both"/>
    </w:pPr>
    <w:rPr>
      <w:rFonts w:ascii="Times New Roman" w:hAnsi="Times New Roman" w:cs="Times New Roman" w:eastAsiaTheme="minorEastAsia"/>
      <w:b/>
      <w:sz w:val="28"/>
      <w:szCs w:val="28"/>
      <w:lang w:val="ru-RU" w:eastAsia="en-US"/>
    </w:rPr>
  </w:style>
  <w:style w:type="paragraph" w:customStyle="1" w:styleId="153">
    <w:name w:val="Стиль3"/>
    <w:basedOn w:val="1"/>
    <w:qFormat/>
    <w:uiPriority w:val="0"/>
    <w:pPr>
      <w:wordWrap w:val="0"/>
      <w:spacing w:line="240" w:lineRule="auto"/>
      <w:jc w:val="right"/>
    </w:pPr>
    <w:rPr>
      <w:rFonts w:ascii="Times New Roman" w:hAnsi="Times New Roman" w:cs="Times New Roman" w:eastAsiaTheme="minorEastAsia"/>
      <w:b/>
      <w:sz w:val="28"/>
      <w:szCs w:val="28"/>
      <w:lang w:val="ru-RU"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2021-12-15T08:25:00Z</dcterms:created>
  <dc:creator>Наталья</dc:creator>
  <cp:lastModifiedBy>Наталья</cp:lastModifiedBy>
  <dcterms:modified xsi:type="dcterms:W3CDTF">2021-12-15T08:49:17Z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328B45DDA0F347678638BD89C11F5DBE</vt:lpwstr>
  </property>
</Properties>
</file>